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703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Гайсумова Зухран Адамовна</w:t>
            </w:r>
          </w:p>
        </w:tc>
        <w:tc>
          <w:tcPr>
            <w:tcW w:w="1701" w:type="dxa"/>
          </w:tcPr>
          <w:p w:rsidR="003534E4" w:rsidRPr="00FE5D8A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940D28">
              <w:rPr>
                <w:sz w:val="20"/>
                <w:szCs w:val="20"/>
              </w:rPr>
              <w:t xml:space="preserve"> по охране семьи и детства</w:t>
            </w:r>
          </w:p>
        </w:tc>
        <w:tc>
          <w:tcPr>
            <w:tcW w:w="1417" w:type="dxa"/>
          </w:tcPr>
          <w:p w:rsidR="003534E4" w:rsidRPr="00FE5D8A" w:rsidRDefault="008703E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50930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8703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8703E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8703E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8703E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8703E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8703E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Гайсумова Зухран Адамовна</w:t>
            </w:r>
            <w:r w:rsidR="00940D28">
              <w:rPr>
                <w:sz w:val="20"/>
                <w:szCs w:val="20"/>
              </w:rPr>
              <w:t>, ведущий специалист по защите семьи и детства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8703E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76B" w:rsidRDefault="0087276B">
      <w:r>
        <w:separator/>
      </w:r>
    </w:p>
  </w:endnote>
  <w:endnote w:type="continuationSeparator" w:id="1">
    <w:p w:rsidR="0087276B" w:rsidRDefault="00872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76B" w:rsidRDefault="0087276B">
      <w:r>
        <w:separator/>
      </w:r>
    </w:p>
  </w:footnote>
  <w:footnote w:type="continuationSeparator" w:id="1">
    <w:p w:rsidR="0087276B" w:rsidRDefault="008727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2C9B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66DC3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F01E3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03EE"/>
    <w:rsid w:val="0087209C"/>
    <w:rsid w:val="008720F5"/>
    <w:rsid w:val="0087276B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0D28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2014-04-02T10:47:00Z</dcterms:created>
  <dcterms:modified xsi:type="dcterms:W3CDTF">2014-04-09T08:31:00Z</dcterms:modified>
</cp:coreProperties>
</file>